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82" w:rsidRDefault="00E64B51" w:rsidP="00E64B51">
      <w:pPr>
        <w:spacing w:line="26" w:lineRule="atLeast"/>
        <w:ind w:firstLine="709"/>
        <w:jc w:val="center"/>
        <w:rPr>
          <w:b/>
          <w:sz w:val="28"/>
        </w:rPr>
      </w:pPr>
      <w:r w:rsidRPr="0022488B">
        <w:rPr>
          <w:b/>
          <w:sz w:val="28"/>
        </w:rPr>
        <w:t xml:space="preserve">Анализ данных, </w:t>
      </w:r>
    </w:p>
    <w:p w:rsidR="006A0482" w:rsidRDefault="00E64B51" w:rsidP="00E64B51">
      <w:pPr>
        <w:spacing w:line="26" w:lineRule="atLeast"/>
        <w:ind w:firstLine="709"/>
        <w:jc w:val="center"/>
        <w:rPr>
          <w:b/>
          <w:sz w:val="28"/>
        </w:rPr>
      </w:pPr>
      <w:r w:rsidRPr="0022488B">
        <w:rPr>
          <w:b/>
          <w:sz w:val="28"/>
        </w:rPr>
        <w:t>полученных в результате мониторинга</w:t>
      </w:r>
      <w:r w:rsidR="0022488B" w:rsidRPr="0022488B">
        <w:rPr>
          <w:b/>
          <w:sz w:val="28"/>
        </w:rPr>
        <w:t xml:space="preserve"> </w:t>
      </w:r>
    </w:p>
    <w:p w:rsidR="00E64B51" w:rsidRPr="0022488B" w:rsidRDefault="0022488B" w:rsidP="00E64B51">
      <w:pPr>
        <w:spacing w:line="26" w:lineRule="atLeast"/>
        <w:ind w:firstLine="709"/>
        <w:jc w:val="center"/>
        <w:rPr>
          <w:b/>
          <w:sz w:val="28"/>
        </w:rPr>
      </w:pPr>
      <w:r w:rsidRPr="0022488B">
        <w:rPr>
          <w:b/>
          <w:sz w:val="28"/>
        </w:rPr>
        <w:t>среди учреждений культуры Санкт-Петербурга</w:t>
      </w:r>
      <w:r w:rsidR="00E64B51" w:rsidRPr="0022488B">
        <w:rPr>
          <w:b/>
          <w:sz w:val="28"/>
        </w:rPr>
        <w:t xml:space="preserve"> </w:t>
      </w:r>
    </w:p>
    <w:p w:rsidR="00E64B51" w:rsidRDefault="00E64B51" w:rsidP="00E64B51">
      <w:pPr>
        <w:spacing w:line="26" w:lineRule="atLeast"/>
        <w:ind w:firstLine="709"/>
        <w:jc w:val="both"/>
        <w:rPr>
          <w:sz w:val="28"/>
        </w:rPr>
      </w:pPr>
    </w:p>
    <w:p w:rsidR="00CB7EF7" w:rsidRDefault="009C1EBF" w:rsidP="00E64B51">
      <w:pPr>
        <w:spacing w:line="26" w:lineRule="atLeast"/>
        <w:ind w:firstLine="709"/>
        <w:jc w:val="both"/>
        <w:rPr>
          <w:sz w:val="28"/>
        </w:rPr>
      </w:pPr>
      <w:r w:rsidRPr="009C1EBF">
        <w:rPr>
          <w:sz w:val="28"/>
        </w:rPr>
        <w:t>Государственная специальная центральная библиотека для слепых и слабо</w:t>
      </w:r>
      <w:r w:rsidR="00054F32">
        <w:rPr>
          <w:sz w:val="28"/>
        </w:rPr>
        <w:t xml:space="preserve">видящих с 2018 года проводит </w:t>
      </w:r>
      <w:r w:rsidR="00054F32" w:rsidRPr="00054F32">
        <w:rPr>
          <w:sz w:val="28"/>
        </w:rPr>
        <w:t xml:space="preserve">мониторинг доступности зданий, услуг, культурно-просветительских проектов, реализуемых </w:t>
      </w:r>
      <w:r w:rsidR="00054F32">
        <w:rPr>
          <w:sz w:val="28"/>
        </w:rPr>
        <w:t xml:space="preserve">библиотеками </w:t>
      </w:r>
      <w:r w:rsidR="00054F32" w:rsidRPr="00054F32">
        <w:rPr>
          <w:sz w:val="28"/>
        </w:rPr>
        <w:t>для людей с инвалидностью</w:t>
      </w:r>
      <w:r w:rsidR="00054F32">
        <w:rPr>
          <w:sz w:val="28"/>
        </w:rPr>
        <w:t>. С 2023 года в мониторинг включены другие учреждения культуры.</w:t>
      </w:r>
      <w:r w:rsidR="00D801D8">
        <w:rPr>
          <w:sz w:val="28"/>
        </w:rPr>
        <w:t xml:space="preserve"> </w:t>
      </w:r>
    </w:p>
    <w:p w:rsidR="003D6564" w:rsidRDefault="00CB7EF7" w:rsidP="00E64B51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>З</w:t>
      </w:r>
      <w:r w:rsidR="005447AB">
        <w:rPr>
          <w:sz w:val="28"/>
        </w:rPr>
        <w:t xml:space="preserve">а 2022 год </w:t>
      </w:r>
      <w:r w:rsidR="00D801D8">
        <w:rPr>
          <w:sz w:val="28"/>
        </w:rPr>
        <w:t xml:space="preserve">были получены сведения </w:t>
      </w:r>
      <w:r w:rsidR="00384777">
        <w:rPr>
          <w:sz w:val="28"/>
        </w:rPr>
        <w:t xml:space="preserve">по </w:t>
      </w:r>
      <w:r w:rsidR="005447AB">
        <w:rPr>
          <w:sz w:val="28"/>
        </w:rPr>
        <w:t>доступности 204 зданий</w:t>
      </w:r>
      <w:r w:rsidR="00D801D8">
        <w:rPr>
          <w:sz w:val="28"/>
        </w:rPr>
        <w:t xml:space="preserve"> библиотек, 51 музею, 26 театрам, 12 концертным организациям</w:t>
      </w:r>
      <w:r w:rsidR="005447AB">
        <w:rPr>
          <w:sz w:val="28"/>
        </w:rPr>
        <w:t>, а также по услугам и проектам, ориентированным на людей с ОВЗ</w:t>
      </w:r>
      <w:r w:rsidR="00CB3FB3">
        <w:rPr>
          <w:sz w:val="28"/>
        </w:rPr>
        <w:t>.</w:t>
      </w:r>
    </w:p>
    <w:p w:rsidR="003D6564" w:rsidRDefault="002A5EFF" w:rsidP="0019568D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>Данные мониторинга отражаю</w:t>
      </w:r>
      <w:r w:rsidR="005447AB">
        <w:rPr>
          <w:sz w:val="28"/>
        </w:rPr>
        <w:t>т</w:t>
      </w:r>
      <w:r>
        <w:rPr>
          <w:sz w:val="28"/>
        </w:rPr>
        <w:t xml:space="preserve"> полную картину </w:t>
      </w:r>
      <w:r w:rsidR="00E07FCC">
        <w:rPr>
          <w:sz w:val="28"/>
        </w:rPr>
        <w:t xml:space="preserve">доступности зданий и услуг </w:t>
      </w:r>
      <w:r>
        <w:rPr>
          <w:sz w:val="28"/>
        </w:rPr>
        <w:t>учреждений куль</w:t>
      </w:r>
      <w:r w:rsidR="00E07FCC">
        <w:rPr>
          <w:sz w:val="28"/>
        </w:rPr>
        <w:t xml:space="preserve">туры города </w:t>
      </w:r>
      <w:r w:rsidR="00CB7EF7">
        <w:rPr>
          <w:sz w:val="28"/>
        </w:rPr>
        <w:t xml:space="preserve">Санкт- Петербурга </w:t>
      </w:r>
      <w:r w:rsidR="00E07FCC">
        <w:rPr>
          <w:sz w:val="28"/>
        </w:rPr>
        <w:t>для людей с ОВЗ.</w:t>
      </w:r>
      <w:r>
        <w:rPr>
          <w:sz w:val="28"/>
        </w:rPr>
        <w:t xml:space="preserve"> </w:t>
      </w:r>
      <w:r w:rsidR="00E07FCC">
        <w:rPr>
          <w:sz w:val="28"/>
        </w:rPr>
        <w:t>М</w:t>
      </w:r>
      <w:r>
        <w:rPr>
          <w:sz w:val="28"/>
        </w:rPr>
        <w:t xml:space="preserve">ожно констатировать, что </w:t>
      </w:r>
      <w:r w:rsidR="00CB7EF7">
        <w:rPr>
          <w:sz w:val="28"/>
        </w:rPr>
        <w:t>больше</w:t>
      </w:r>
      <w:r w:rsidR="00B01EC3">
        <w:rPr>
          <w:sz w:val="28"/>
        </w:rPr>
        <w:t xml:space="preserve">е количество </w:t>
      </w:r>
      <w:r w:rsidR="003D6564" w:rsidRPr="003D6564">
        <w:rPr>
          <w:sz w:val="28"/>
        </w:rPr>
        <w:t xml:space="preserve">учреждений культуры </w:t>
      </w:r>
      <w:r w:rsidR="00B01EC3">
        <w:rPr>
          <w:sz w:val="28"/>
        </w:rPr>
        <w:t xml:space="preserve">обеспечили доступность входных групп зданий </w:t>
      </w:r>
      <w:r w:rsidR="003D6564" w:rsidRPr="003D6564">
        <w:rPr>
          <w:sz w:val="28"/>
        </w:rPr>
        <w:t>для людей с нарушениями опорно-двигательного аппарата, в т. ч. передвигающихся на креслах-колясках</w:t>
      </w:r>
      <w:r w:rsidR="003D6564">
        <w:rPr>
          <w:sz w:val="28"/>
        </w:rPr>
        <w:t>:</w:t>
      </w:r>
    </w:p>
    <w:p w:rsidR="003D6564" w:rsidRDefault="00431B75" w:rsidP="003D6564">
      <w:pPr>
        <w:spacing w:line="26" w:lineRule="atLeast"/>
        <w:jc w:val="both"/>
        <w:rPr>
          <w:sz w:val="28"/>
        </w:rPr>
      </w:pPr>
      <w:r w:rsidRPr="00060DD2">
        <w:rPr>
          <w:noProof/>
          <w:sz w:val="28"/>
        </w:rPr>
        <w:drawing>
          <wp:anchor distT="0" distB="0" distL="114300" distR="114300" simplePos="0" relativeHeight="251677184" behindDoc="1" locked="0" layoutInCell="1" allowOverlap="1" wp14:anchorId="679CB8F5" wp14:editId="02706A45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47244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513" y="21486"/>
                <wp:lineTo x="21513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564" w:rsidRDefault="003D6564" w:rsidP="00201B8A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>Физическая доступность зданий для друг</w:t>
      </w:r>
      <w:r w:rsidR="00CA2D3F">
        <w:rPr>
          <w:sz w:val="28"/>
        </w:rPr>
        <w:t>их нозологических групп обеспечена</w:t>
      </w:r>
      <w:r>
        <w:rPr>
          <w:sz w:val="28"/>
        </w:rPr>
        <w:t xml:space="preserve"> следующим образом:</w:t>
      </w:r>
    </w:p>
    <w:p w:rsidR="003D6564" w:rsidRPr="003D6564" w:rsidRDefault="003D6564" w:rsidP="000E272B">
      <w:pPr>
        <w:spacing w:line="26" w:lineRule="atLeast"/>
        <w:ind w:firstLine="709"/>
        <w:jc w:val="both"/>
        <w:rPr>
          <w:sz w:val="28"/>
        </w:rPr>
      </w:pPr>
      <w:r w:rsidRPr="003D6564">
        <w:rPr>
          <w:sz w:val="28"/>
        </w:rPr>
        <w:t>– 100 учреждений культуры оборудованы индукционными петлями для людей с нарушениями слуха;</w:t>
      </w:r>
    </w:p>
    <w:p w:rsidR="00682A0C" w:rsidRDefault="00CB7EF7" w:rsidP="00CB7EF7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>– 33 учреждения</w:t>
      </w:r>
      <w:r w:rsidR="003D6564" w:rsidRPr="003D6564">
        <w:rPr>
          <w:sz w:val="28"/>
        </w:rPr>
        <w:t xml:space="preserve"> культуры оборудованы напольной навигацией для людей с нарушениями зрения</w:t>
      </w:r>
      <w:r w:rsidR="00201B8A">
        <w:rPr>
          <w:sz w:val="28"/>
        </w:rPr>
        <w:t>.</w:t>
      </w:r>
    </w:p>
    <w:p w:rsidR="003D6564" w:rsidRDefault="00BD2E4B" w:rsidP="00FD09C1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>По запросу библиотеки предоставляются</w:t>
      </w:r>
      <w:r w:rsidR="00682A0C">
        <w:rPr>
          <w:sz w:val="28"/>
        </w:rPr>
        <w:t xml:space="preserve"> сведения о реализуемых инклюзивных и специальных</w:t>
      </w:r>
      <w:r w:rsidR="00E23012">
        <w:rPr>
          <w:sz w:val="28"/>
        </w:rPr>
        <w:t xml:space="preserve"> </w:t>
      </w:r>
      <w:r w:rsidR="00682A0C">
        <w:rPr>
          <w:sz w:val="28"/>
        </w:rPr>
        <w:t>культурно-просветительских проектах</w:t>
      </w:r>
      <w:r w:rsidR="00FD09C1">
        <w:rPr>
          <w:sz w:val="28"/>
        </w:rPr>
        <w:t xml:space="preserve"> для людей с ОВЗ</w:t>
      </w:r>
      <w:r w:rsidR="00E404AA">
        <w:rPr>
          <w:sz w:val="28"/>
        </w:rPr>
        <w:t>.</w:t>
      </w:r>
    </w:p>
    <w:p w:rsidR="00760713" w:rsidRDefault="00153960" w:rsidP="00FD09C1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t xml:space="preserve">Полученные </w:t>
      </w:r>
      <w:bookmarkStart w:id="0" w:name="_GoBack"/>
      <w:bookmarkEnd w:id="0"/>
      <w:r>
        <w:rPr>
          <w:sz w:val="28"/>
        </w:rPr>
        <w:t>позволяют говорить о том, что н</w:t>
      </w:r>
      <w:r w:rsidR="00760713">
        <w:rPr>
          <w:sz w:val="28"/>
        </w:rPr>
        <w:t>аиболее активно эту деятельность ведут библиотеки</w:t>
      </w:r>
      <w:r w:rsidR="00682A0C">
        <w:rPr>
          <w:sz w:val="28"/>
        </w:rPr>
        <w:t>, в которых реализуется</w:t>
      </w:r>
      <w:r w:rsidR="00760713">
        <w:rPr>
          <w:sz w:val="28"/>
        </w:rPr>
        <w:t xml:space="preserve"> 71 ку</w:t>
      </w:r>
      <w:r w:rsidR="00682A0C">
        <w:rPr>
          <w:sz w:val="28"/>
        </w:rPr>
        <w:t>льтурно-просветительский проект</w:t>
      </w:r>
      <w:r w:rsidR="00760713">
        <w:rPr>
          <w:sz w:val="28"/>
        </w:rPr>
        <w:t xml:space="preserve"> и му</w:t>
      </w:r>
      <w:r w:rsidR="00682A0C">
        <w:rPr>
          <w:sz w:val="28"/>
        </w:rPr>
        <w:t xml:space="preserve">зеи, которые предоставили сведения о </w:t>
      </w:r>
      <w:r w:rsidR="0018732F" w:rsidRPr="0018732F">
        <w:rPr>
          <w:sz w:val="28"/>
        </w:rPr>
        <w:t>3</w:t>
      </w:r>
      <w:r w:rsidR="00760713" w:rsidRPr="0018732F">
        <w:rPr>
          <w:sz w:val="28"/>
        </w:rPr>
        <w:t>1</w:t>
      </w:r>
      <w:r w:rsidR="00760713">
        <w:rPr>
          <w:sz w:val="28"/>
        </w:rPr>
        <w:t xml:space="preserve"> ку</w:t>
      </w:r>
      <w:r w:rsidR="00682A0C">
        <w:rPr>
          <w:sz w:val="28"/>
        </w:rPr>
        <w:t>льтурно-просветительском проект</w:t>
      </w:r>
      <w:r w:rsidR="00DC4967">
        <w:rPr>
          <w:sz w:val="28"/>
        </w:rPr>
        <w:t>е</w:t>
      </w:r>
      <w:r w:rsidR="00760713">
        <w:rPr>
          <w:sz w:val="28"/>
        </w:rPr>
        <w:t>.</w:t>
      </w:r>
    </w:p>
    <w:p w:rsidR="00760713" w:rsidRDefault="00CB7EF7" w:rsidP="00FD09C1">
      <w:pPr>
        <w:spacing w:line="26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Получены</w:t>
      </w:r>
      <w:r w:rsidR="001A266F">
        <w:rPr>
          <w:sz w:val="28"/>
        </w:rPr>
        <w:t xml:space="preserve"> сведения о 5 проектах, реализуемых концертными организациями:</w:t>
      </w:r>
    </w:p>
    <w:p w:rsidR="0071590A" w:rsidRDefault="00431B75" w:rsidP="00806A4A">
      <w:pPr>
        <w:spacing w:line="26" w:lineRule="atLeast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655320</wp:posOffset>
            </wp:positionH>
            <wp:positionV relativeFrom="paragraph">
              <wp:posOffset>59055</wp:posOffset>
            </wp:positionV>
            <wp:extent cx="421322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86" y="21402"/>
                <wp:lineTo x="2148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Pr="0071590A" w:rsidRDefault="0071590A" w:rsidP="0071590A">
      <w:pPr>
        <w:rPr>
          <w:sz w:val="28"/>
        </w:rPr>
      </w:pPr>
    </w:p>
    <w:p w:rsidR="0071590A" w:rsidRDefault="0071590A" w:rsidP="0071590A">
      <w:pPr>
        <w:rPr>
          <w:sz w:val="28"/>
        </w:rPr>
      </w:pPr>
    </w:p>
    <w:p w:rsidR="005506D3" w:rsidRDefault="005506D3" w:rsidP="0071590A">
      <w:pPr>
        <w:rPr>
          <w:sz w:val="28"/>
        </w:rPr>
      </w:pPr>
    </w:p>
    <w:p w:rsidR="00C0472B" w:rsidRPr="0071590A" w:rsidRDefault="00C0472B" w:rsidP="00E07FCC">
      <w:pPr>
        <w:ind w:firstLine="709"/>
        <w:jc w:val="both"/>
        <w:rPr>
          <w:sz w:val="28"/>
        </w:rPr>
      </w:pPr>
      <w:r>
        <w:rPr>
          <w:sz w:val="28"/>
        </w:rPr>
        <w:t>Проведени</w:t>
      </w:r>
      <w:r w:rsidR="00E07FCC">
        <w:rPr>
          <w:sz w:val="28"/>
        </w:rPr>
        <w:t>е ежегодного мониторинга позволяе</w:t>
      </w:r>
      <w:r>
        <w:rPr>
          <w:sz w:val="28"/>
        </w:rPr>
        <w:t xml:space="preserve">т составить объективную картину доступности зданий и услуг учреждений культуры города </w:t>
      </w:r>
      <w:r w:rsidR="00CB7EF7">
        <w:rPr>
          <w:sz w:val="28"/>
        </w:rPr>
        <w:t xml:space="preserve">Санкт- Петербурга </w:t>
      </w:r>
      <w:r>
        <w:rPr>
          <w:sz w:val="28"/>
        </w:rPr>
        <w:t>для людей с ОВЗ.</w:t>
      </w:r>
    </w:p>
    <w:sectPr w:rsidR="00C0472B" w:rsidRPr="0071590A" w:rsidSect="00DF4D74">
      <w:pgSz w:w="11906" w:h="16838"/>
      <w:pgMar w:top="1701" w:right="1758" w:bottom="170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247"/>
    <w:multiLevelType w:val="hybridMultilevel"/>
    <w:tmpl w:val="12106820"/>
    <w:lvl w:ilvl="0" w:tplc="0EC04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40298"/>
    <w:multiLevelType w:val="hybridMultilevel"/>
    <w:tmpl w:val="3FDE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FA5650"/>
    <w:multiLevelType w:val="hybridMultilevel"/>
    <w:tmpl w:val="1038B0F8"/>
    <w:lvl w:ilvl="0" w:tplc="C9A66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7573A3"/>
    <w:multiLevelType w:val="hybridMultilevel"/>
    <w:tmpl w:val="60F03D4C"/>
    <w:lvl w:ilvl="0" w:tplc="3F7AA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AA860CB"/>
    <w:multiLevelType w:val="hybridMultilevel"/>
    <w:tmpl w:val="8EDC269A"/>
    <w:lvl w:ilvl="0" w:tplc="4768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2B"/>
    <w:rsid w:val="000002C7"/>
    <w:rsid w:val="000035DE"/>
    <w:rsid w:val="00010C97"/>
    <w:rsid w:val="000112BC"/>
    <w:rsid w:val="00022EFF"/>
    <w:rsid w:val="00033319"/>
    <w:rsid w:val="00033E58"/>
    <w:rsid w:val="00034C46"/>
    <w:rsid w:val="0003586F"/>
    <w:rsid w:val="00037576"/>
    <w:rsid w:val="00050351"/>
    <w:rsid w:val="0005258B"/>
    <w:rsid w:val="00054F32"/>
    <w:rsid w:val="00060DD2"/>
    <w:rsid w:val="000754F3"/>
    <w:rsid w:val="00084D49"/>
    <w:rsid w:val="000B0BF6"/>
    <w:rsid w:val="000C00AD"/>
    <w:rsid w:val="000C2FF8"/>
    <w:rsid w:val="000C362D"/>
    <w:rsid w:val="000C4565"/>
    <w:rsid w:val="000C5EA7"/>
    <w:rsid w:val="000D4416"/>
    <w:rsid w:val="000E272B"/>
    <w:rsid w:val="000E39DE"/>
    <w:rsid w:val="000E6850"/>
    <w:rsid w:val="000F56E8"/>
    <w:rsid w:val="0011356B"/>
    <w:rsid w:val="00134ECE"/>
    <w:rsid w:val="0013746D"/>
    <w:rsid w:val="00140377"/>
    <w:rsid w:val="0014227A"/>
    <w:rsid w:val="001432DC"/>
    <w:rsid w:val="00153960"/>
    <w:rsid w:val="00162B2E"/>
    <w:rsid w:val="0016395C"/>
    <w:rsid w:val="00172F32"/>
    <w:rsid w:val="00177BEB"/>
    <w:rsid w:val="0018732F"/>
    <w:rsid w:val="0019568D"/>
    <w:rsid w:val="001A266F"/>
    <w:rsid w:val="001B23C1"/>
    <w:rsid w:val="001B65AB"/>
    <w:rsid w:val="001D153C"/>
    <w:rsid w:val="001D21D0"/>
    <w:rsid w:val="001D47CA"/>
    <w:rsid w:val="001D5E67"/>
    <w:rsid w:val="001E2727"/>
    <w:rsid w:val="001E5A28"/>
    <w:rsid w:val="001F1A5C"/>
    <w:rsid w:val="00201832"/>
    <w:rsid w:val="00201B8A"/>
    <w:rsid w:val="002030EE"/>
    <w:rsid w:val="00207C0E"/>
    <w:rsid w:val="002165B5"/>
    <w:rsid w:val="0022488B"/>
    <w:rsid w:val="00241BF0"/>
    <w:rsid w:val="00251901"/>
    <w:rsid w:val="00252536"/>
    <w:rsid w:val="00266ECF"/>
    <w:rsid w:val="00273571"/>
    <w:rsid w:val="00274B34"/>
    <w:rsid w:val="0028507F"/>
    <w:rsid w:val="002922C0"/>
    <w:rsid w:val="002928D2"/>
    <w:rsid w:val="00293E3B"/>
    <w:rsid w:val="00296C16"/>
    <w:rsid w:val="002972D5"/>
    <w:rsid w:val="002A46F4"/>
    <w:rsid w:val="002A5EFF"/>
    <w:rsid w:val="002A66F0"/>
    <w:rsid w:val="002C1870"/>
    <w:rsid w:val="002C5EF9"/>
    <w:rsid w:val="002D4EF5"/>
    <w:rsid w:val="002E229B"/>
    <w:rsid w:val="002F2FCA"/>
    <w:rsid w:val="002F37C0"/>
    <w:rsid w:val="002F3D55"/>
    <w:rsid w:val="002F66BB"/>
    <w:rsid w:val="00304000"/>
    <w:rsid w:val="00307657"/>
    <w:rsid w:val="00317D95"/>
    <w:rsid w:val="00320C71"/>
    <w:rsid w:val="003274A9"/>
    <w:rsid w:val="003564E2"/>
    <w:rsid w:val="00362242"/>
    <w:rsid w:val="00362B7E"/>
    <w:rsid w:val="00363F9D"/>
    <w:rsid w:val="00365E48"/>
    <w:rsid w:val="00384777"/>
    <w:rsid w:val="003B02FE"/>
    <w:rsid w:val="003B5922"/>
    <w:rsid w:val="003B746D"/>
    <w:rsid w:val="003C2353"/>
    <w:rsid w:val="003D26A0"/>
    <w:rsid w:val="003D6564"/>
    <w:rsid w:val="003E3C11"/>
    <w:rsid w:val="003E541E"/>
    <w:rsid w:val="003F22C3"/>
    <w:rsid w:val="00401ADC"/>
    <w:rsid w:val="004216B2"/>
    <w:rsid w:val="004273DF"/>
    <w:rsid w:val="0042747E"/>
    <w:rsid w:val="00427995"/>
    <w:rsid w:val="00431B75"/>
    <w:rsid w:val="004373CF"/>
    <w:rsid w:val="00445E68"/>
    <w:rsid w:val="004562D0"/>
    <w:rsid w:val="00457E01"/>
    <w:rsid w:val="004777FF"/>
    <w:rsid w:val="00480B57"/>
    <w:rsid w:val="004826D8"/>
    <w:rsid w:val="00485B88"/>
    <w:rsid w:val="00495E60"/>
    <w:rsid w:val="00496F6C"/>
    <w:rsid w:val="004A54DD"/>
    <w:rsid w:val="004B0071"/>
    <w:rsid w:val="004C2A9B"/>
    <w:rsid w:val="004D09F6"/>
    <w:rsid w:val="004E03AB"/>
    <w:rsid w:val="004F5B05"/>
    <w:rsid w:val="00506CCD"/>
    <w:rsid w:val="00524EC7"/>
    <w:rsid w:val="00535FBE"/>
    <w:rsid w:val="0054433B"/>
    <w:rsid w:val="005447AB"/>
    <w:rsid w:val="005506D3"/>
    <w:rsid w:val="005629C0"/>
    <w:rsid w:val="00563B50"/>
    <w:rsid w:val="00563D35"/>
    <w:rsid w:val="005671F9"/>
    <w:rsid w:val="005739A3"/>
    <w:rsid w:val="00590E37"/>
    <w:rsid w:val="00596FFA"/>
    <w:rsid w:val="005A13D4"/>
    <w:rsid w:val="005A2F59"/>
    <w:rsid w:val="005A5FEA"/>
    <w:rsid w:val="005B28A0"/>
    <w:rsid w:val="005D00C3"/>
    <w:rsid w:val="005D2C72"/>
    <w:rsid w:val="005F2D7E"/>
    <w:rsid w:val="005F4694"/>
    <w:rsid w:val="00607401"/>
    <w:rsid w:val="00613369"/>
    <w:rsid w:val="00613CFC"/>
    <w:rsid w:val="00616AB0"/>
    <w:rsid w:val="00620FD3"/>
    <w:rsid w:val="00621209"/>
    <w:rsid w:val="006222D2"/>
    <w:rsid w:val="00622D1A"/>
    <w:rsid w:val="00625727"/>
    <w:rsid w:val="0062783C"/>
    <w:rsid w:val="006477DB"/>
    <w:rsid w:val="00654179"/>
    <w:rsid w:val="006569FF"/>
    <w:rsid w:val="00657463"/>
    <w:rsid w:val="00661991"/>
    <w:rsid w:val="006778C5"/>
    <w:rsid w:val="00682A0C"/>
    <w:rsid w:val="00682D94"/>
    <w:rsid w:val="0069000E"/>
    <w:rsid w:val="00691712"/>
    <w:rsid w:val="006A0482"/>
    <w:rsid w:val="006B26B5"/>
    <w:rsid w:val="006C2C2B"/>
    <w:rsid w:val="006D5506"/>
    <w:rsid w:val="006F4B03"/>
    <w:rsid w:val="00706C51"/>
    <w:rsid w:val="00713F0E"/>
    <w:rsid w:val="0071590A"/>
    <w:rsid w:val="00760713"/>
    <w:rsid w:val="00761398"/>
    <w:rsid w:val="0076300B"/>
    <w:rsid w:val="007658A0"/>
    <w:rsid w:val="00781D5D"/>
    <w:rsid w:val="00787476"/>
    <w:rsid w:val="007910E8"/>
    <w:rsid w:val="007C1BD5"/>
    <w:rsid w:val="007C58AB"/>
    <w:rsid w:val="007D32DF"/>
    <w:rsid w:val="007E5061"/>
    <w:rsid w:val="007E58F7"/>
    <w:rsid w:val="007E638E"/>
    <w:rsid w:val="007E674F"/>
    <w:rsid w:val="007F1237"/>
    <w:rsid w:val="007F34E8"/>
    <w:rsid w:val="007F3F39"/>
    <w:rsid w:val="00806A4A"/>
    <w:rsid w:val="00813C5E"/>
    <w:rsid w:val="00816A6E"/>
    <w:rsid w:val="008240FB"/>
    <w:rsid w:val="0082694B"/>
    <w:rsid w:val="008369D7"/>
    <w:rsid w:val="00836EEF"/>
    <w:rsid w:val="00846F57"/>
    <w:rsid w:val="00852F39"/>
    <w:rsid w:val="00855506"/>
    <w:rsid w:val="00857DD2"/>
    <w:rsid w:val="0087330D"/>
    <w:rsid w:val="00877420"/>
    <w:rsid w:val="008806DA"/>
    <w:rsid w:val="0088415C"/>
    <w:rsid w:val="00890D68"/>
    <w:rsid w:val="00893825"/>
    <w:rsid w:val="008941CB"/>
    <w:rsid w:val="00897363"/>
    <w:rsid w:val="008A14BC"/>
    <w:rsid w:val="008B2A66"/>
    <w:rsid w:val="008C1132"/>
    <w:rsid w:val="008C46D2"/>
    <w:rsid w:val="008C50D8"/>
    <w:rsid w:val="008D1211"/>
    <w:rsid w:val="008F35B7"/>
    <w:rsid w:val="008F3B2F"/>
    <w:rsid w:val="00900DA9"/>
    <w:rsid w:val="00915DF8"/>
    <w:rsid w:val="009401E3"/>
    <w:rsid w:val="009503B4"/>
    <w:rsid w:val="009511B9"/>
    <w:rsid w:val="00954793"/>
    <w:rsid w:val="0095749E"/>
    <w:rsid w:val="0097521F"/>
    <w:rsid w:val="00983631"/>
    <w:rsid w:val="00995168"/>
    <w:rsid w:val="009A6FF0"/>
    <w:rsid w:val="009B5CCE"/>
    <w:rsid w:val="009B70A3"/>
    <w:rsid w:val="009C1EBF"/>
    <w:rsid w:val="009E1B86"/>
    <w:rsid w:val="009F23BA"/>
    <w:rsid w:val="009F564D"/>
    <w:rsid w:val="009F6184"/>
    <w:rsid w:val="009F66CF"/>
    <w:rsid w:val="009F7EEE"/>
    <w:rsid w:val="00A01EFB"/>
    <w:rsid w:val="00A02DBD"/>
    <w:rsid w:val="00A07C75"/>
    <w:rsid w:val="00A11D6C"/>
    <w:rsid w:val="00A1288A"/>
    <w:rsid w:val="00A135F3"/>
    <w:rsid w:val="00A3359F"/>
    <w:rsid w:val="00A3561E"/>
    <w:rsid w:val="00A47578"/>
    <w:rsid w:val="00A61E33"/>
    <w:rsid w:val="00A6548B"/>
    <w:rsid w:val="00A74540"/>
    <w:rsid w:val="00A80F46"/>
    <w:rsid w:val="00A86EB2"/>
    <w:rsid w:val="00A90EC1"/>
    <w:rsid w:val="00AA4114"/>
    <w:rsid w:val="00AA54CD"/>
    <w:rsid w:val="00AA6F33"/>
    <w:rsid w:val="00AB41E1"/>
    <w:rsid w:val="00AC6C2E"/>
    <w:rsid w:val="00AD252D"/>
    <w:rsid w:val="00AE6D31"/>
    <w:rsid w:val="00AE780E"/>
    <w:rsid w:val="00AF652C"/>
    <w:rsid w:val="00B015CF"/>
    <w:rsid w:val="00B01EC3"/>
    <w:rsid w:val="00B0558F"/>
    <w:rsid w:val="00B138DE"/>
    <w:rsid w:val="00B140E7"/>
    <w:rsid w:val="00B1450F"/>
    <w:rsid w:val="00B252EB"/>
    <w:rsid w:val="00B27D3E"/>
    <w:rsid w:val="00B366B5"/>
    <w:rsid w:val="00B473D9"/>
    <w:rsid w:val="00B53CD9"/>
    <w:rsid w:val="00B577CC"/>
    <w:rsid w:val="00B658C9"/>
    <w:rsid w:val="00B7471F"/>
    <w:rsid w:val="00B75030"/>
    <w:rsid w:val="00B768F5"/>
    <w:rsid w:val="00B81567"/>
    <w:rsid w:val="00BA428F"/>
    <w:rsid w:val="00BA74F2"/>
    <w:rsid w:val="00BC52D2"/>
    <w:rsid w:val="00BD2E4B"/>
    <w:rsid w:val="00BD4F40"/>
    <w:rsid w:val="00BD5B63"/>
    <w:rsid w:val="00BE4F57"/>
    <w:rsid w:val="00BF2266"/>
    <w:rsid w:val="00C00859"/>
    <w:rsid w:val="00C0472B"/>
    <w:rsid w:val="00C106F8"/>
    <w:rsid w:val="00C124A8"/>
    <w:rsid w:val="00C13381"/>
    <w:rsid w:val="00C13F5F"/>
    <w:rsid w:val="00C23C70"/>
    <w:rsid w:val="00C24C6E"/>
    <w:rsid w:val="00C2636C"/>
    <w:rsid w:val="00C32D85"/>
    <w:rsid w:val="00C4469A"/>
    <w:rsid w:val="00C64752"/>
    <w:rsid w:val="00C6623D"/>
    <w:rsid w:val="00C80691"/>
    <w:rsid w:val="00C9443E"/>
    <w:rsid w:val="00C9756B"/>
    <w:rsid w:val="00CA2A57"/>
    <w:rsid w:val="00CA2D3F"/>
    <w:rsid w:val="00CB3FB3"/>
    <w:rsid w:val="00CB628C"/>
    <w:rsid w:val="00CB7EF7"/>
    <w:rsid w:val="00CC4683"/>
    <w:rsid w:val="00CE0638"/>
    <w:rsid w:val="00CE18FB"/>
    <w:rsid w:val="00CE6771"/>
    <w:rsid w:val="00CF1A4D"/>
    <w:rsid w:val="00CF2507"/>
    <w:rsid w:val="00D04222"/>
    <w:rsid w:val="00D1053C"/>
    <w:rsid w:val="00D237BB"/>
    <w:rsid w:val="00D3067C"/>
    <w:rsid w:val="00D4523C"/>
    <w:rsid w:val="00D471F1"/>
    <w:rsid w:val="00D519AE"/>
    <w:rsid w:val="00D57882"/>
    <w:rsid w:val="00D6317A"/>
    <w:rsid w:val="00D6538C"/>
    <w:rsid w:val="00D76ABB"/>
    <w:rsid w:val="00D801D8"/>
    <w:rsid w:val="00D8151F"/>
    <w:rsid w:val="00D86627"/>
    <w:rsid w:val="00D93096"/>
    <w:rsid w:val="00D935D1"/>
    <w:rsid w:val="00DA25B6"/>
    <w:rsid w:val="00DA3F2F"/>
    <w:rsid w:val="00DA44ED"/>
    <w:rsid w:val="00DB5265"/>
    <w:rsid w:val="00DB6035"/>
    <w:rsid w:val="00DC2C77"/>
    <w:rsid w:val="00DC4967"/>
    <w:rsid w:val="00DF402A"/>
    <w:rsid w:val="00DF4D74"/>
    <w:rsid w:val="00E06601"/>
    <w:rsid w:val="00E07FCC"/>
    <w:rsid w:val="00E17417"/>
    <w:rsid w:val="00E20D00"/>
    <w:rsid w:val="00E23012"/>
    <w:rsid w:val="00E3192F"/>
    <w:rsid w:val="00E37D16"/>
    <w:rsid w:val="00E404AA"/>
    <w:rsid w:val="00E54584"/>
    <w:rsid w:val="00E559E5"/>
    <w:rsid w:val="00E615EC"/>
    <w:rsid w:val="00E64B51"/>
    <w:rsid w:val="00E73847"/>
    <w:rsid w:val="00E82435"/>
    <w:rsid w:val="00E83D21"/>
    <w:rsid w:val="00E83F07"/>
    <w:rsid w:val="00E86AA0"/>
    <w:rsid w:val="00EB0D30"/>
    <w:rsid w:val="00EB1F8F"/>
    <w:rsid w:val="00ED1161"/>
    <w:rsid w:val="00ED5682"/>
    <w:rsid w:val="00EE55CC"/>
    <w:rsid w:val="00EF297F"/>
    <w:rsid w:val="00F0241E"/>
    <w:rsid w:val="00F02A34"/>
    <w:rsid w:val="00F0376C"/>
    <w:rsid w:val="00F041B8"/>
    <w:rsid w:val="00F21CF5"/>
    <w:rsid w:val="00F2357A"/>
    <w:rsid w:val="00F30F2B"/>
    <w:rsid w:val="00F32492"/>
    <w:rsid w:val="00F42B30"/>
    <w:rsid w:val="00F52CFA"/>
    <w:rsid w:val="00F53863"/>
    <w:rsid w:val="00F56118"/>
    <w:rsid w:val="00F6003A"/>
    <w:rsid w:val="00F673CF"/>
    <w:rsid w:val="00F71040"/>
    <w:rsid w:val="00F738C7"/>
    <w:rsid w:val="00F76623"/>
    <w:rsid w:val="00F84471"/>
    <w:rsid w:val="00F845E3"/>
    <w:rsid w:val="00F862D6"/>
    <w:rsid w:val="00FA672A"/>
    <w:rsid w:val="00FB2415"/>
    <w:rsid w:val="00FB7702"/>
    <w:rsid w:val="00FC1EE4"/>
    <w:rsid w:val="00FD09C1"/>
    <w:rsid w:val="00FD218A"/>
    <w:rsid w:val="00FD3574"/>
    <w:rsid w:val="00FE5CCC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C977E"/>
  <w15:docId w15:val="{E6E9C134-C422-4BF2-A156-152829C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C7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40FB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53CD9"/>
    <w:rPr>
      <w:b/>
      <w:bCs/>
    </w:rPr>
  </w:style>
  <w:style w:type="paragraph" w:styleId="a7">
    <w:name w:val="No Spacing"/>
    <w:link w:val="a8"/>
    <w:uiPriority w:val="1"/>
    <w:qFormat/>
    <w:rsid w:val="00022EFF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022EFF"/>
    <w:rPr>
      <w:sz w:val="24"/>
      <w:szCs w:val="24"/>
    </w:rPr>
  </w:style>
  <w:style w:type="paragraph" w:styleId="a9">
    <w:name w:val="List Paragraph"/>
    <w:basedOn w:val="a"/>
    <w:uiPriority w:val="34"/>
    <w:qFormat/>
    <w:rsid w:val="00022EF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E638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0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Доступные</a:t>
            </a:r>
            <a:r>
              <a:rPr lang="ru-RU" sz="1200" baseline="0"/>
              <a:t> входные группы </a:t>
            </a:r>
            <a:r>
              <a:rPr lang="ru-RU" sz="1200">
                <a:solidFill>
                  <a:schemeClr val="bg1">
                    <a:lumMod val="50000"/>
                  </a:schemeClr>
                </a:solidFill>
              </a:rPr>
              <a:t>– 1</a:t>
            </a:r>
            <a:r>
              <a:rPr lang="en-US" sz="1200">
                <a:solidFill>
                  <a:schemeClr val="bg1">
                    <a:lumMod val="50000"/>
                  </a:schemeClr>
                </a:solidFill>
              </a:rPr>
              <a:t>1</a:t>
            </a:r>
            <a:r>
              <a:rPr lang="ru-RU" sz="1200">
                <a:solidFill>
                  <a:schemeClr val="bg1">
                    <a:lumMod val="50000"/>
                  </a:schemeClr>
                </a:solidFill>
              </a:rPr>
              <a:t>1 зданий</a:t>
            </a:r>
          </a:p>
        </c:rich>
      </c:tx>
      <c:layout>
        <c:manualLayout>
          <c:xMode val="edge"/>
          <c:yMode val="edge"/>
          <c:x val="2.1331385996105328E-2"/>
          <c:y val="4.05560416059103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DC-4E78-A37B-7DFEB00B4F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DC-4E78-A37B-7DFEB00B4F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DC-4E78-A37B-7DFEB00B4F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DC-4E78-A37B-7DFEB00B4F1A}"/>
              </c:ext>
            </c:extLst>
          </c:dPt>
          <c:dLbls>
            <c:dLbl>
              <c:idx val="0"/>
              <c:layout>
                <c:manualLayout>
                  <c:x val="0.12892696230560749"/>
                  <c:y val="-6.909362607046382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DC-4E78-A37B-7DFEB00B4F1A}"/>
                </c:ext>
              </c:extLst>
            </c:dLbl>
            <c:dLbl>
              <c:idx val="1"/>
              <c:layout>
                <c:manualLayout>
                  <c:x val="5.8385409841924071E-2"/>
                  <c:y val="6.5645807197072647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DC-4E78-A37B-7DFEB00B4F1A}"/>
                </c:ext>
              </c:extLst>
            </c:dLbl>
            <c:dLbl>
              <c:idx val="2"/>
              <c:layout>
                <c:manualLayout>
                  <c:x val="8.8607824545492028E-2"/>
                  <c:y val="9.794246307446859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DC-4E78-A37B-7DFEB00B4F1A}"/>
                </c:ext>
              </c:extLst>
            </c:dLbl>
            <c:dLbl>
              <c:idx val="3"/>
              <c:layout>
                <c:manualLayout>
                  <c:x val="-0.1277421439977206"/>
                  <c:y val="-7.580248332509112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DC-4E78-A37B-7DFEB00B4F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Музеи (6)</c:v>
                </c:pt>
                <c:pt idx="1">
                  <c:v>Театры (8)</c:v>
                </c:pt>
                <c:pt idx="2">
                  <c:v>Концертные организации (2)</c:v>
                </c:pt>
                <c:pt idx="3">
                  <c:v>Библиотеки (95)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DC-4E78-A37B-7DFEB00B4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1B87-F549-4F6A-88EA-F4180E92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Пунда Анастасия Сергеевна</cp:lastModifiedBy>
  <cp:revision>135</cp:revision>
  <cp:lastPrinted>2024-03-26T12:19:00Z</cp:lastPrinted>
  <dcterms:created xsi:type="dcterms:W3CDTF">2023-02-14T13:47:00Z</dcterms:created>
  <dcterms:modified xsi:type="dcterms:W3CDTF">2024-03-26T12:55:00Z</dcterms:modified>
</cp:coreProperties>
</file>